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58" w:rsidRPr="00E96BCF" w:rsidRDefault="005C1958" w:rsidP="00957FCD">
      <w:pPr>
        <w:widowControl w:val="0"/>
        <w:spacing w:after="305" w:line="322" w:lineRule="exact"/>
        <w:ind w:firstLine="567"/>
        <w:rPr>
          <w:rFonts w:eastAsia="Times New Roman" w:cs="Times New Roman"/>
          <w:b/>
          <w:bCs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t>Порядок подготовки электронных документов,</w:t>
      </w:r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br/>
        <w:t>представляемых для проведения негосударственной экспертизы проектной</w:t>
      </w:r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br/>
        <w:t xml:space="preserve">документации и (или) результатов инженерных изысканий 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proofErr w:type="gramStart"/>
      <w:r w:rsidRPr="00E96BCF">
        <w:rPr>
          <w:rFonts w:eastAsia="Times New Roman" w:cs="Times New Roman"/>
          <w:sz w:val="27"/>
          <w:szCs w:val="27"/>
          <w:lang w:eastAsia="ru-RU" w:bidi="ru-RU"/>
        </w:rPr>
        <w:t>Подготовка электронных документов, представляемых для проведения негосударственной экспертизы проектной документации и (или) результатов инженерных изысканий выполняется на основании «Требований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строительства», утвержденных приказом Министерства строительства и жилищно-коммунального хозяйства Российской Федерации от 12.05.2017 № 783</w:t>
      </w:r>
      <w:proofErr w:type="gramEnd"/>
      <w:r w:rsidRPr="00E96BCF">
        <w:rPr>
          <w:rFonts w:eastAsia="Times New Roman" w:cs="Times New Roman"/>
          <w:sz w:val="27"/>
          <w:szCs w:val="27"/>
          <w:lang w:eastAsia="ru-RU" w:bidi="ru-RU"/>
        </w:rPr>
        <w:t>/пр.</w:t>
      </w:r>
    </w:p>
    <w:p w:rsidR="005C1958" w:rsidRPr="00E96BCF" w:rsidRDefault="005C1958" w:rsidP="00957FCD">
      <w:pPr>
        <w:widowControl w:val="0"/>
        <w:spacing w:after="260"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Общие требования к составу проектной документации и содержанию разделов приведены в Положении о составе проектной документации и требованиях к их содержанию, утвержденном постановлением Правительства Российской Федерации от 16.02.2008 № 87 с изм. </w:t>
      </w:r>
      <w:bookmarkStart w:id="0" w:name="bookmark0"/>
    </w:p>
    <w:p w:rsidR="005C1958" w:rsidRPr="00E96BCF" w:rsidRDefault="005C1958" w:rsidP="00957FCD">
      <w:pPr>
        <w:widowControl w:val="0"/>
        <w:spacing w:after="260"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Требования к электронным документам:</w:t>
      </w:r>
      <w:bookmarkEnd w:id="0"/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1.Для проведения экспертизы электронные документы подлежат представлению в виде файлов в формате 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bidi="en-US"/>
        </w:rPr>
        <w:t>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Схемы, подлежащие использованию для формирования документов в формате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(далее -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-схемы), размещаются на официальном сайте Министерства строительства и жилищно-коммунального хозяйства Российской Федерации (далее - Министерство) в информационно-телекоммуникационной сети «Интернет» (далее - сеть Интернет) и вводятся в действие по истечении трех месяцев со дня размещения.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После размещения на официальном сайте Министерства в сети Интернет новой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-схемы для соответствующего документа в течение трех месяцев со дня введения ее в действие обеспечивается доступ к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-схеме, прекратившей свое действие.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b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2.</w:t>
      </w:r>
      <w:r w:rsidRPr="00E96BCF">
        <w:rPr>
          <w:rFonts w:eastAsia="Times New Roman" w:cs="Times New Roman"/>
          <w:b/>
          <w:sz w:val="27"/>
          <w:szCs w:val="27"/>
          <w:lang w:eastAsia="ru-RU" w:bidi="ru-RU"/>
        </w:rPr>
        <w:t xml:space="preserve">В случае если на официальном сайте Министерства отсутствует </w:t>
      </w:r>
      <w:r w:rsidRPr="00E96BCF">
        <w:rPr>
          <w:rFonts w:eastAsia="Times New Roman" w:cs="Times New Roman"/>
          <w:b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b/>
          <w:sz w:val="27"/>
          <w:szCs w:val="27"/>
          <w:lang w:eastAsia="ru-RU" w:bidi="ru-RU"/>
        </w:rPr>
        <w:t>-схема, подлежащая использованию для формирования соответствующего электронного документа, электронные документы представляются в следующих форматах: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810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по проектной документации и (или) результатам инженерных изысканий, за исключением раздела «сметная документация»:</w:t>
      </w:r>
    </w:p>
    <w:p w:rsidR="005C1958" w:rsidRPr="00E96BCF" w:rsidRDefault="005C1958" w:rsidP="00957FCD">
      <w:pPr>
        <w:widowControl w:val="0"/>
        <w:tabs>
          <w:tab w:val="left" w:pos="850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а)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doc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docx</w:t>
      </w:r>
      <w:proofErr w:type="spellEnd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odt</w:t>
      </w:r>
      <w:proofErr w:type="spellEnd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- для документов с текстовым содержанием, не включающим формулы;</w:t>
      </w:r>
    </w:p>
    <w:p w:rsidR="005C1958" w:rsidRPr="00E96BCF" w:rsidRDefault="005C1958" w:rsidP="00957FCD">
      <w:pPr>
        <w:widowControl w:val="0"/>
        <w:tabs>
          <w:tab w:val="left" w:pos="865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б)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pdf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810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по разделу «сметная документация»:</w:t>
      </w:r>
    </w:p>
    <w:p w:rsidR="005C1958" w:rsidRPr="00E96BCF" w:rsidRDefault="005C1958" w:rsidP="00957FCD">
      <w:pPr>
        <w:widowControl w:val="0"/>
        <w:tabs>
          <w:tab w:val="left" w:pos="850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а)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</w:r>
      <w:proofErr w:type="spellStart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xls</w:t>
      </w:r>
      <w:proofErr w:type="spellEnd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xlsx</w:t>
      </w:r>
      <w:proofErr w:type="spellEnd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ods</w:t>
      </w:r>
      <w:proofErr w:type="spellEnd"/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- для документов, содержащих сводки затрат, сводного сметного расчета стоимости строительства, объектных сметных расчетов (смет), локальных сметных расчетов (смет), сметных расчетов на отдельные виды затрат;</w:t>
      </w:r>
    </w:p>
    <w:p w:rsidR="005C1958" w:rsidRPr="00E96BCF" w:rsidRDefault="005C1958" w:rsidP="00957FCD">
      <w:pPr>
        <w:widowControl w:val="0"/>
        <w:tabs>
          <w:tab w:val="left" w:pos="865"/>
        </w:tabs>
        <w:spacing w:line="274" w:lineRule="exact"/>
        <w:ind w:firstLine="567"/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б)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 xml:space="preserve">прайс-листы, спецификации на монтируемое и </w:t>
      </w:r>
      <w:proofErr w:type="spellStart"/>
      <w:r w:rsidRPr="00E96BCF">
        <w:rPr>
          <w:rFonts w:eastAsia="Times New Roman" w:cs="Times New Roman"/>
          <w:sz w:val="27"/>
          <w:szCs w:val="27"/>
          <w:lang w:eastAsia="ru-RU" w:bidi="ru-RU"/>
        </w:rPr>
        <w:t>немонтируемое</w:t>
      </w:r>
      <w:proofErr w:type="spellEnd"/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 оборудование, а также иные документы, обосновывающие стоимость оборудования, материалов, изделий и конструкций отсутствующих в сборниках, включенных в федеральный реестр сметных нормативов, а также документы, подтверждающие правомерность использования импортных материалов и оборудования - в формате 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pdf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>.</w:t>
      </w:r>
    </w:p>
    <w:p w:rsidR="005C1958" w:rsidRPr="00E96BCF" w:rsidRDefault="005C1958" w:rsidP="00957FCD">
      <w:pPr>
        <w:widowControl w:val="0"/>
        <w:tabs>
          <w:tab w:val="left" w:pos="865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Электронные документы, представляемые в форматах, отличных от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bidi="en-US"/>
        </w:rPr>
        <w:t xml:space="preserve">,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должны:</w:t>
      </w:r>
    </w:p>
    <w:p w:rsidR="005C1958" w:rsidRPr="00E96BCF" w:rsidRDefault="005C1958" w:rsidP="00957FCD">
      <w:pPr>
        <w:widowControl w:val="0"/>
        <w:tabs>
          <w:tab w:val="left" w:pos="863"/>
        </w:tabs>
        <w:ind w:firstLine="567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Courier New" w:cs="Times New Roman"/>
          <w:b/>
          <w:bCs/>
          <w:sz w:val="27"/>
          <w:szCs w:val="27"/>
          <w:lang w:eastAsia="ru-RU" w:bidi="ru-RU"/>
        </w:rPr>
        <w:t>а)</w:t>
      </w:r>
      <w:r w:rsidRPr="00E96BCF">
        <w:rPr>
          <w:rFonts w:eastAsia="Courier New" w:cs="Times New Roman"/>
          <w:b/>
          <w:bCs/>
          <w:sz w:val="27"/>
          <w:szCs w:val="27"/>
          <w:lang w:eastAsia="ru-RU" w:bidi="ru-RU"/>
        </w:rPr>
        <w:tab/>
      </w:r>
      <w:r w:rsidRPr="00E96BCF">
        <w:rPr>
          <w:rFonts w:eastAsia="Courier New" w:cs="Times New Roman"/>
          <w:sz w:val="27"/>
          <w:szCs w:val="27"/>
          <w:lang w:eastAsia="ru-RU" w:bidi="ru-RU"/>
        </w:rPr>
        <w:t xml:space="preserve">формироваться способом, </w:t>
      </w:r>
      <w:r w:rsidRPr="00E96BCF">
        <w:rPr>
          <w:rFonts w:eastAsia="Courier New" w:cs="Times New Roman"/>
          <w:b/>
          <w:bCs/>
          <w:sz w:val="27"/>
          <w:szCs w:val="27"/>
          <w:u w:val="single"/>
          <w:lang w:eastAsia="ru-RU" w:bidi="ru-RU"/>
        </w:rPr>
        <w:t>не предусматривающим сканирование</w:t>
      </w:r>
      <w:r w:rsidRPr="00E96BCF">
        <w:rPr>
          <w:rFonts w:eastAsia="Courier New" w:cs="Times New Roman"/>
          <w:sz w:val="27"/>
          <w:szCs w:val="27"/>
          <w:lang w:eastAsia="ru-RU" w:bidi="ru-RU"/>
        </w:rPr>
        <w:t xml:space="preserve"> документа на бумажном носителе</w:t>
      </w:r>
      <w:r w:rsidRPr="00E96BCF">
        <w:rPr>
          <w:rFonts w:eastAsia="Courier New" w:cs="Times New Roman"/>
          <w:b/>
          <w:bCs/>
          <w:sz w:val="27"/>
          <w:szCs w:val="27"/>
          <w:lang w:eastAsia="ru-RU" w:bidi="ru-RU"/>
        </w:rPr>
        <w:t>;</w:t>
      </w:r>
    </w:p>
    <w:p w:rsidR="005C1958" w:rsidRPr="00E96BCF" w:rsidRDefault="005C1958" w:rsidP="00957FCD">
      <w:pPr>
        <w:widowControl w:val="0"/>
        <w:tabs>
          <w:tab w:val="left" w:pos="867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lastRenderedPageBreak/>
        <w:t>б)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состоять из одного или нескольких файлов, каждый из которых содержит текстовую и (или) графическую информацию;</w:t>
      </w:r>
    </w:p>
    <w:p w:rsidR="005C1958" w:rsidRPr="00E96BCF" w:rsidRDefault="005C1958" w:rsidP="00957FCD">
      <w:pPr>
        <w:widowControl w:val="0"/>
        <w:tabs>
          <w:tab w:val="left" w:pos="867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C1958" w:rsidRPr="00E96BCF" w:rsidRDefault="005C1958" w:rsidP="00957FCD">
      <w:pPr>
        <w:widowControl w:val="0"/>
        <w:tabs>
          <w:tab w:val="left" w:pos="863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г)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5C1958" w:rsidRPr="00E96BCF" w:rsidRDefault="005C1958" w:rsidP="00957FCD">
      <w:pPr>
        <w:widowControl w:val="0"/>
        <w:tabs>
          <w:tab w:val="left" w:pos="867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д)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формироваться для каждого раздела (подраздела) проектной документации и содержать в названии слова «Раздел ПД №», а также «подраздел ПД №» (для подраздела в составе раздела) с указанием порядкового номера раздела, подраздела (применительно к проектной документации);</w:t>
      </w:r>
    </w:p>
    <w:p w:rsidR="005C1958" w:rsidRPr="00E96BCF" w:rsidRDefault="005C1958" w:rsidP="00957FCD">
      <w:pPr>
        <w:widowControl w:val="0"/>
        <w:tabs>
          <w:tab w:val="left" w:pos="876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е)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не превышать предельного размера в 80 мегабайт (в случае превышения предельного размера, документ делится на несколько, название каждого файла дополняется словом «Фрагмент» и порядковым номером файла, полученного в результате деления).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При наличии в проектной документации документов, подлежащих представлению в форматах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xml</w:t>
      </w:r>
      <w:r w:rsidRPr="00E96BCF">
        <w:rPr>
          <w:rFonts w:eastAsia="Times New Roman" w:cs="Times New Roman"/>
          <w:sz w:val="27"/>
          <w:szCs w:val="27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или </w:t>
      </w:r>
      <w:proofErr w:type="spellStart"/>
      <w:r w:rsidRPr="00E96BCF">
        <w:rPr>
          <w:rFonts w:eastAsia="Times New Roman" w:cs="Times New Roman"/>
          <w:sz w:val="27"/>
          <w:szCs w:val="27"/>
          <w:lang w:val="en-US" w:bidi="en-US"/>
        </w:rPr>
        <w:t>xls</w:t>
      </w:r>
      <w:proofErr w:type="spellEnd"/>
      <w:r w:rsidRPr="00E96BCF">
        <w:rPr>
          <w:rFonts w:eastAsia="Times New Roman" w:cs="Times New Roman"/>
          <w:sz w:val="27"/>
          <w:szCs w:val="27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sz w:val="27"/>
          <w:szCs w:val="27"/>
          <w:lang w:val="en-US" w:bidi="en-US"/>
        </w:rPr>
        <w:t>xlsx</w:t>
      </w:r>
      <w:proofErr w:type="spellEnd"/>
      <w:r w:rsidRPr="00E96BCF">
        <w:rPr>
          <w:rFonts w:eastAsia="Times New Roman" w:cs="Times New Roman"/>
          <w:sz w:val="27"/>
          <w:szCs w:val="27"/>
          <w:lang w:bidi="en-US"/>
        </w:rPr>
        <w:t xml:space="preserve">, </w:t>
      </w:r>
      <w:proofErr w:type="spellStart"/>
      <w:r w:rsidRPr="00E96BCF">
        <w:rPr>
          <w:rFonts w:eastAsia="Times New Roman" w:cs="Times New Roman"/>
          <w:sz w:val="27"/>
          <w:szCs w:val="27"/>
          <w:lang w:val="en-US" w:bidi="en-US"/>
        </w:rPr>
        <w:t>ods</w:t>
      </w:r>
      <w:proofErr w:type="spellEnd"/>
      <w:r w:rsidRPr="00E96BCF">
        <w:rPr>
          <w:rFonts w:eastAsia="Times New Roman" w:cs="Times New Roman"/>
          <w:sz w:val="27"/>
          <w:szCs w:val="27"/>
          <w:lang w:bidi="en-US"/>
        </w:rPr>
        <w:t xml:space="preserve">,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такие документы формируются в виде отдельного электронного документа с соблюдением установленных правил наименования.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proofErr w:type="gramStart"/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В случаях, когда оригинал документа выдан и подписан уполномоченным органом власти или организацией на бумажном носителе (за исключением проектной документации), а также при подготовке информационно-удостоверяющего листа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E96BCF">
        <w:rPr>
          <w:rFonts w:eastAsia="Times New Roman" w:cs="Times New Roman"/>
          <w:sz w:val="27"/>
          <w:szCs w:val="27"/>
          <w:lang w:val="en-US" w:bidi="en-US"/>
        </w:rPr>
        <w:t>dpi</w:t>
      </w:r>
      <w:r w:rsidRPr="00E96BCF">
        <w:rPr>
          <w:rFonts w:eastAsia="Times New Roman" w:cs="Times New Roman"/>
          <w:sz w:val="27"/>
          <w:szCs w:val="27"/>
          <w:lang w:bidi="en-US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(масштаб 1:1) с использованием следующих режимов:</w:t>
      </w:r>
      <w:proofErr w:type="gramEnd"/>
    </w:p>
    <w:p w:rsidR="005C1958" w:rsidRPr="00E96BCF" w:rsidRDefault="005C1958" w:rsidP="00957FCD">
      <w:pPr>
        <w:widowControl w:val="0"/>
        <w:tabs>
          <w:tab w:val="left" w:pos="863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а)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«черно-белый» (при отсутствии в документе графических изображений и (или) цветного текста);</w:t>
      </w:r>
    </w:p>
    <w:p w:rsidR="005C1958" w:rsidRPr="00E96BCF" w:rsidRDefault="005C1958" w:rsidP="00957FCD">
      <w:pPr>
        <w:widowControl w:val="0"/>
        <w:tabs>
          <w:tab w:val="left" w:pos="867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б)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5C1958" w:rsidRPr="00E96BCF" w:rsidRDefault="005C1958" w:rsidP="00957FCD">
      <w:pPr>
        <w:widowControl w:val="0"/>
        <w:tabs>
          <w:tab w:val="left" w:pos="867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5C1958" w:rsidRPr="00E96BCF" w:rsidRDefault="005C1958" w:rsidP="00E96BCF">
      <w:pPr>
        <w:widowControl w:val="0"/>
        <w:tabs>
          <w:tab w:val="left" w:pos="2750"/>
          <w:tab w:val="left" w:pos="6658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Представляемые на экспертизу электронные документы должны быть в </w:t>
      </w:r>
      <w:r w:rsidR="00E96BCF" w:rsidRPr="00E96BCF">
        <w:rPr>
          <w:rFonts w:eastAsia="Times New Roman" w:cs="Times New Roman"/>
          <w:sz w:val="27"/>
          <w:szCs w:val="27"/>
          <w:lang w:eastAsia="ru-RU" w:bidi="ru-RU"/>
        </w:rPr>
        <w:t xml:space="preserve">установленном порядке подписаны усиленной квалифицированной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электронной подписью</w:t>
      </w:r>
      <w:r w:rsidR="00E96BCF" w:rsidRPr="00E96BCF">
        <w:rPr>
          <w:rFonts w:eastAsia="Times New Roman" w:cs="Times New Roman"/>
          <w:sz w:val="27"/>
          <w:szCs w:val="27"/>
          <w:lang w:eastAsia="ru-RU" w:bidi="ru-RU"/>
        </w:rPr>
        <w:t xml:space="preserve">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(далее - электронная подпись) лицами, обладающими полномочиями на их подписание в соответствии с законодательством Российской Федерации.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Наименование (обозначение) электронного документа должно соответствовать наименованию документа.</w:t>
      </w:r>
    </w:p>
    <w:p w:rsidR="005C1958" w:rsidRPr="00E96BCF" w:rsidRDefault="005C1958" w:rsidP="00957FCD">
      <w:pPr>
        <w:widowControl w:val="0"/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Общие правила обозначения электронных документов не должно противоречить требованиям ГОСТ </w:t>
      </w:r>
      <w:proofErr w:type="gramStart"/>
      <w:r w:rsidRPr="00E96BCF">
        <w:rPr>
          <w:rFonts w:eastAsia="Times New Roman" w:cs="Times New Roman"/>
          <w:sz w:val="27"/>
          <w:szCs w:val="27"/>
          <w:lang w:eastAsia="ru-RU" w:bidi="ru-RU"/>
        </w:rPr>
        <w:t>Р</w:t>
      </w:r>
      <w:proofErr w:type="gramEnd"/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 21.1101-2013 «Основные требования к проектной и рабочей документации» (п.4.1, Приложение А).</w:t>
      </w:r>
    </w:p>
    <w:p w:rsidR="005C1958" w:rsidRPr="00E96BCF" w:rsidRDefault="005C1958" w:rsidP="00957FCD">
      <w:pPr>
        <w:widowControl w:val="0"/>
        <w:spacing w:after="280"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Наименование документа должно быть понятным, соответствовать наименованию на титульном листе, составу проекта и содержанию тома.</w:t>
      </w:r>
    </w:p>
    <w:p w:rsidR="005C1958" w:rsidRPr="00E96BCF" w:rsidRDefault="005C1958" w:rsidP="00957FCD">
      <w:pPr>
        <w:keepNext/>
        <w:keepLines/>
        <w:widowControl w:val="0"/>
        <w:tabs>
          <w:tab w:val="left" w:pos="1162"/>
        </w:tabs>
        <w:spacing w:line="274" w:lineRule="exact"/>
        <w:ind w:firstLine="567"/>
        <w:outlineLvl w:val="1"/>
        <w:rPr>
          <w:rFonts w:eastAsia="Times New Roman" w:cs="Times New Roman"/>
          <w:b/>
          <w:bCs/>
          <w:sz w:val="27"/>
          <w:szCs w:val="27"/>
          <w:lang w:eastAsia="ru-RU" w:bidi="ru-RU"/>
        </w:rPr>
      </w:pPr>
      <w:bookmarkStart w:id="1" w:name="bookmark1"/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t>3.Структура комплекта электронных документов, представляемого на негосударственную экспертизу:</w:t>
      </w:r>
      <w:bookmarkEnd w:id="1"/>
    </w:p>
    <w:p w:rsidR="005C1958" w:rsidRPr="00E96BCF" w:rsidRDefault="005C1958" w:rsidP="00957FCD">
      <w:pPr>
        <w:widowControl w:val="0"/>
        <w:tabs>
          <w:tab w:val="left" w:pos="890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а)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папка-каталог «Проектная документация»;</w:t>
      </w:r>
    </w:p>
    <w:p w:rsidR="005C1958" w:rsidRPr="00E96BCF" w:rsidRDefault="005C1958" w:rsidP="00957FCD">
      <w:pPr>
        <w:widowControl w:val="0"/>
        <w:tabs>
          <w:tab w:val="left" w:pos="904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б)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папка-каталог «Результаты инженерных изысканий»;</w:t>
      </w:r>
    </w:p>
    <w:p w:rsidR="005C1958" w:rsidRPr="00E96BCF" w:rsidRDefault="005C1958" w:rsidP="00957FCD">
      <w:pPr>
        <w:widowControl w:val="0"/>
        <w:tabs>
          <w:tab w:val="left" w:pos="904"/>
        </w:tabs>
        <w:spacing w:line="274" w:lineRule="exact"/>
        <w:ind w:firstLine="567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папка-каталог «Исходно-разрешительная документация»;</w:t>
      </w:r>
    </w:p>
    <w:p w:rsidR="005C1958" w:rsidRPr="00E96BCF" w:rsidRDefault="005C1958" w:rsidP="00957FCD">
      <w:pPr>
        <w:widowControl w:val="0"/>
        <w:tabs>
          <w:tab w:val="left" w:pos="904"/>
        </w:tabs>
        <w:spacing w:line="274" w:lineRule="exact"/>
        <w:ind w:firstLine="567"/>
        <w:rPr>
          <w:rFonts w:eastAsia="Times New Roman" w:cs="Times New Roman"/>
          <w:szCs w:val="28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г)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папка-каталог «Сметная документация».</w:t>
      </w:r>
    </w:p>
    <w:p w:rsidR="005C1958" w:rsidRPr="00E96BCF" w:rsidRDefault="005C1958" w:rsidP="005C1958">
      <w:pPr>
        <w:widowControl w:val="0"/>
        <w:spacing w:line="274" w:lineRule="exact"/>
        <w:ind w:firstLine="580"/>
        <w:rPr>
          <w:rFonts w:eastAsia="Times New Roman" w:cs="Times New Roman"/>
          <w:szCs w:val="28"/>
          <w:lang w:eastAsia="ru-RU" w:bidi="ru-RU"/>
        </w:rPr>
        <w:sectPr w:rsidR="005C1958" w:rsidRPr="00E96BCF" w:rsidSect="00957FCD">
          <w:headerReference w:type="even" r:id="rId8"/>
          <w:pgSz w:w="11900" w:h="16840"/>
          <w:pgMar w:top="993" w:right="843" w:bottom="649" w:left="1100" w:header="0" w:footer="3" w:gutter="0"/>
          <w:cols w:space="720"/>
          <w:noEndnote/>
          <w:docGrid w:linePitch="360"/>
        </w:sectPr>
      </w:pPr>
    </w:p>
    <w:p w:rsidR="005C1958" w:rsidRPr="00E96BCF" w:rsidRDefault="005C1958" w:rsidP="005C1958">
      <w:pPr>
        <w:widowControl w:val="0"/>
        <w:ind w:firstLine="0"/>
        <w:jc w:val="left"/>
        <w:rPr>
          <w:rFonts w:eastAsia="Courier New" w:cs="Times New Roman"/>
          <w:szCs w:val="28"/>
          <w:lang w:eastAsia="ru-RU" w:bidi="ru-RU"/>
        </w:rPr>
        <w:sectPr w:rsidR="005C1958" w:rsidRPr="00E96BCF" w:rsidSect="005C1958">
          <w:type w:val="continuous"/>
          <w:pgSz w:w="16840" w:h="11900" w:orient="landscape"/>
          <w:pgMar w:top="851" w:right="0" w:bottom="851" w:left="0" w:header="0" w:footer="3" w:gutter="0"/>
          <w:cols w:space="720"/>
          <w:noEndnote/>
          <w:docGrid w:linePitch="360"/>
        </w:sectPr>
      </w:pPr>
    </w:p>
    <w:bookmarkStart w:id="2" w:name="bookmark2"/>
    <w:p w:rsidR="005C1958" w:rsidRPr="00E96BCF" w:rsidRDefault="00E74794" w:rsidP="005C1958">
      <w:pPr>
        <w:keepNext/>
        <w:keepLines/>
        <w:widowControl w:val="0"/>
        <w:spacing w:after="286" w:line="278" w:lineRule="exact"/>
        <w:ind w:left="40" w:firstLine="0"/>
        <w:jc w:val="center"/>
        <w:outlineLvl w:val="1"/>
        <w:rPr>
          <w:rFonts w:eastAsia="Times New Roman" w:cs="Times New Roman"/>
          <w:b/>
          <w:bCs/>
          <w:sz w:val="27"/>
          <w:szCs w:val="27"/>
          <w:lang w:eastAsia="ru-RU" w:bidi="ru-RU"/>
        </w:rPr>
      </w:pPr>
      <w:r w:rsidRPr="00E96BCF">
        <w:rPr>
          <w:rFonts w:eastAsia="Courier New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371600" distR="63500" simplePos="0" relativeHeight="251659264" behindDoc="1" locked="0" layoutInCell="1" allowOverlap="1" wp14:anchorId="4396F10A" wp14:editId="10A9D385">
                <wp:simplePos x="0" y="0"/>
                <wp:positionH relativeFrom="margin">
                  <wp:posOffset>5951220</wp:posOffset>
                </wp:positionH>
                <wp:positionV relativeFrom="margin">
                  <wp:posOffset>393065</wp:posOffset>
                </wp:positionV>
                <wp:extent cx="4086225" cy="4431030"/>
                <wp:effectExtent l="0" t="0" r="9525" b="7620"/>
                <wp:wrapSquare wrapText="left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43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397" w:rsidRPr="005C1958" w:rsidRDefault="00183397" w:rsidP="00E74794">
                            <w:pPr>
                              <w:spacing w:line="283" w:lineRule="exact"/>
                              <w:ind w:left="20" w:right="181"/>
                              <w:jc w:val="center"/>
                              <w:rPr>
                                <w:rFonts w:eastAsia="Times New Roman"/>
                                <w:b/>
                                <w:szCs w:val="28"/>
                                <w:lang w:eastAsia="ru-RU" w:bidi="ru-RU"/>
                              </w:rPr>
                            </w:pPr>
                            <w:r w:rsidRPr="005C1958">
                              <w:rPr>
                                <w:rFonts w:eastAsia="Times New Roman"/>
                                <w:b/>
                                <w:szCs w:val="28"/>
                                <w:lang w:eastAsia="ru-RU" w:bidi="ru-RU"/>
                              </w:rPr>
                              <w:t>Папка-каталог «Проектная документация»</w:t>
                            </w:r>
                            <w:r w:rsidRPr="005C1958">
                              <w:rPr>
                                <w:rFonts w:eastAsia="Times New Roman"/>
                                <w:b/>
                                <w:szCs w:val="28"/>
                                <w:lang w:eastAsia="ru-RU" w:bidi="ru-RU"/>
                              </w:rPr>
                              <w:br/>
                              <w:t>для линейного объекта</w:t>
                            </w:r>
                            <w:r>
                              <w:rPr>
                                <w:rFonts w:eastAsia="Times New Roman"/>
                                <w:b/>
                                <w:szCs w:val="28"/>
                                <w:lang w:eastAsia="ru-RU" w:bidi="ru-RU"/>
                              </w:rPr>
                              <w:t>:</w:t>
                            </w:r>
                          </w:p>
                          <w:p w:rsidR="00183397" w:rsidRDefault="00183397" w:rsidP="00E74794">
                            <w:pPr>
                              <w:spacing w:line="283" w:lineRule="exact"/>
                              <w:ind w:left="20" w:right="181"/>
                              <w:jc w:val="center"/>
                              <w:rPr>
                                <w:rFonts w:eastAsia="Times New Roman"/>
                                <w:szCs w:val="28"/>
                                <w:lang w:eastAsia="ru-RU" w:bidi="ru-RU"/>
                              </w:rPr>
                            </w:pP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9"/>
                              </w:numPr>
                              <w:spacing w:line="283" w:lineRule="exact"/>
                              <w:ind w:left="0"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Общий перечень (содержание) документации 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9"/>
                              </w:numPr>
                              <w:spacing w:line="283" w:lineRule="exact"/>
                              <w:ind w:left="0"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 ПЗ (Пояснительная записка)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>ППО (Проект полосы отвода)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proofErr w:type="gramStart"/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ТКР (Технологические и конструктивные решения </w:t>
                            </w:r>
                            <w:proofErr w:type="gramEnd"/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ИЛО (Здания, строения, сооружения, входящие в инфраструктуру линейного объекта) 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proofErr w:type="gramStart"/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>ПОС</w:t>
                            </w:r>
                            <w:proofErr w:type="gramEnd"/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 (Проект организации строительства)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ПОД (Проект организации работ по сносу (демонтажу) линейного объекта) 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 ООС (Мероприятия по охране окружающей среды)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>ПБ (Мероприятия по обеспечению пожарной безопасности)</w:t>
                            </w:r>
                          </w:p>
                          <w:p w:rsidR="00183397" w:rsidRPr="00957FCD" w:rsidRDefault="00183397" w:rsidP="00E74794">
                            <w:pPr>
                              <w:numPr>
                                <w:ilvl w:val="0"/>
                                <w:numId w:val="2"/>
                              </w:num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proofErr w:type="gramStart"/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>СМ</w:t>
                            </w:r>
                            <w:proofErr w:type="gramEnd"/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 xml:space="preserve"> (Смета на строительство)</w:t>
                            </w:r>
                          </w:p>
                          <w:p w:rsidR="00183397" w:rsidRPr="00957FCD" w:rsidRDefault="00183397" w:rsidP="00E74794">
                            <w:pPr>
                              <w:spacing w:line="283" w:lineRule="exact"/>
                              <w:ind w:right="181" w:firstLine="0"/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</w:pPr>
                            <w:r w:rsidRPr="00957FCD">
                              <w:rPr>
                                <w:rFonts w:eastAsia="Times New Roman"/>
                                <w:sz w:val="27"/>
                                <w:szCs w:val="27"/>
                                <w:lang w:eastAsia="ru-RU" w:bidi="ru-RU"/>
                              </w:rPr>
                              <w:t>10. ИД (Иная документация в случаях, предусмотренных федеральными законами)</w:t>
                            </w:r>
                          </w:p>
                          <w:p w:rsidR="00183397" w:rsidRPr="00957FCD" w:rsidRDefault="00183397" w:rsidP="00E74794">
                            <w:pPr>
                              <w:spacing w:line="283" w:lineRule="exact"/>
                              <w:ind w:left="20" w:right="181"/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8.6pt;margin-top:30.95pt;width:321.75pt;height:348.9pt;z-index:-251657216;visibility:visible;mso-wrap-style:square;mso-width-percent:0;mso-height-percent:0;mso-wrap-distance-left:108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" filled="f" stroked="f">
                <v:textbox inset="0,0,0,0">
                  <w:txbxContent>
                    <w:p w:rsidR="00183397" w:rsidRPr="005C1958" w:rsidRDefault="00183397" w:rsidP="00E74794">
                      <w:pPr>
                        <w:spacing w:line="283" w:lineRule="exact"/>
                        <w:ind w:left="20" w:right="181"/>
                        <w:jc w:val="center"/>
                        <w:rPr>
                          <w:rFonts w:eastAsia="Times New Roman"/>
                          <w:b/>
                          <w:szCs w:val="28"/>
                          <w:lang w:eastAsia="ru-RU" w:bidi="ru-RU"/>
                        </w:rPr>
                      </w:pPr>
                      <w:r w:rsidRPr="005C1958">
                        <w:rPr>
                          <w:rFonts w:eastAsia="Times New Roman"/>
                          <w:b/>
                          <w:szCs w:val="28"/>
                          <w:lang w:eastAsia="ru-RU" w:bidi="ru-RU"/>
                        </w:rPr>
                        <w:t>Папка-каталог «Проектная документация»</w:t>
                      </w:r>
                      <w:r w:rsidRPr="005C1958">
                        <w:rPr>
                          <w:rFonts w:eastAsia="Times New Roman"/>
                          <w:b/>
                          <w:szCs w:val="28"/>
                          <w:lang w:eastAsia="ru-RU" w:bidi="ru-RU"/>
                        </w:rPr>
                        <w:br/>
                        <w:t>для линейного объекта</w:t>
                      </w:r>
                      <w:r>
                        <w:rPr>
                          <w:rFonts w:eastAsia="Times New Roman"/>
                          <w:b/>
                          <w:szCs w:val="28"/>
                          <w:lang w:eastAsia="ru-RU" w:bidi="ru-RU"/>
                        </w:rPr>
                        <w:t>:</w:t>
                      </w:r>
                    </w:p>
                    <w:p w:rsidR="00183397" w:rsidRDefault="00183397" w:rsidP="00E74794">
                      <w:pPr>
                        <w:spacing w:line="283" w:lineRule="exact"/>
                        <w:ind w:left="20" w:right="181"/>
                        <w:jc w:val="center"/>
                        <w:rPr>
                          <w:rFonts w:eastAsia="Times New Roman"/>
                          <w:szCs w:val="28"/>
                          <w:lang w:eastAsia="ru-RU" w:bidi="ru-RU"/>
                        </w:rPr>
                      </w:pP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9"/>
                        </w:numPr>
                        <w:spacing w:line="283" w:lineRule="exact"/>
                        <w:ind w:left="0"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Общий перечень (содержание) документации 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9"/>
                        </w:numPr>
                        <w:spacing w:line="283" w:lineRule="exact"/>
                        <w:ind w:left="0"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 ПЗ (Пояснительная записка)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>ППО (Проект полосы отвода)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proofErr w:type="gramStart"/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ТКР (Технологические и конструктивные решения </w:t>
                      </w:r>
                      <w:proofErr w:type="gramEnd"/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ИЛО (Здания, строения, сооружения, входящие в инфраструктуру линейного объекта) 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proofErr w:type="gramStart"/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>ПОС</w:t>
                      </w:r>
                      <w:proofErr w:type="gramEnd"/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 (Проект организации строительства)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ПОД (Проект организации работ по сносу (демонтажу) линейного объекта) 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 ООС (Мероприятия по охране окружающей среды)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>ПБ (Мероприятия по обеспечению пожарной безопасности)</w:t>
                      </w:r>
                    </w:p>
                    <w:p w:rsidR="00183397" w:rsidRPr="00957FCD" w:rsidRDefault="00183397" w:rsidP="00E74794">
                      <w:pPr>
                        <w:numPr>
                          <w:ilvl w:val="0"/>
                          <w:numId w:val="2"/>
                        </w:num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proofErr w:type="gramStart"/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>СМ</w:t>
                      </w:r>
                      <w:proofErr w:type="gramEnd"/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 xml:space="preserve"> (Смета на строительство)</w:t>
                      </w:r>
                    </w:p>
                    <w:p w:rsidR="00183397" w:rsidRPr="00957FCD" w:rsidRDefault="00183397" w:rsidP="00E74794">
                      <w:pPr>
                        <w:spacing w:line="283" w:lineRule="exact"/>
                        <w:ind w:right="181" w:firstLine="0"/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</w:pPr>
                      <w:r w:rsidRPr="00957FCD">
                        <w:rPr>
                          <w:rFonts w:eastAsia="Times New Roman"/>
                          <w:sz w:val="27"/>
                          <w:szCs w:val="27"/>
                          <w:lang w:eastAsia="ru-RU" w:bidi="ru-RU"/>
                        </w:rPr>
                        <w:t>10. ИД (Иная документация в случаях, предусмотренных федеральными законами)</w:t>
                      </w:r>
                    </w:p>
                    <w:p w:rsidR="00183397" w:rsidRPr="00957FCD" w:rsidRDefault="00183397" w:rsidP="00E74794">
                      <w:pPr>
                        <w:spacing w:line="283" w:lineRule="exact"/>
                        <w:ind w:left="20" w:right="181"/>
                        <w:jc w:val="center"/>
                        <w:rPr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5C1958" w:rsidRPr="00E96BCF">
        <w:rPr>
          <w:rFonts w:eastAsia="Times New Roman" w:cs="Times New Roman"/>
          <w:b/>
          <w:bCs/>
          <w:szCs w:val="28"/>
          <w:lang w:eastAsia="ru-RU" w:bidi="ru-RU"/>
        </w:rPr>
        <w:t>Папка-каталог «Проектная документация» для объекта</w:t>
      </w:r>
      <w:r w:rsidR="005C1958" w:rsidRPr="00E96BCF">
        <w:rPr>
          <w:rFonts w:eastAsia="Times New Roman" w:cs="Times New Roman"/>
          <w:b/>
          <w:bCs/>
          <w:szCs w:val="28"/>
          <w:lang w:eastAsia="ru-RU" w:bidi="ru-RU"/>
        </w:rPr>
        <w:br/>
        <w:t xml:space="preserve">капитального строительства, за исключением </w:t>
      </w:r>
      <w:r w:rsidR="005C1958"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t>линейного объекта:</w:t>
      </w:r>
      <w:bookmarkEnd w:id="2"/>
    </w:p>
    <w:p w:rsidR="005C1958" w:rsidRPr="00E96BCF" w:rsidRDefault="005C1958" w:rsidP="005C1958">
      <w:pPr>
        <w:widowControl w:val="0"/>
        <w:numPr>
          <w:ilvl w:val="0"/>
          <w:numId w:val="8"/>
        </w:numPr>
        <w:tabs>
          <w:tab w:val="left" w:pos="851"/>
        </w:tabs>
        <w:spacing w:line="221" w:lineRule="exact"/>
        <w:ind w:left="580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Общий перечень (содержание) документации </w:t>
      </w:r>
    </w:p>
    <w:p w:rsidR="005C1958" w:rsidRPr="00E96BCF" w:rsidRDefault="005C1958" w:rsidP="005C1958">
      <w:pPr>
        <w:widowControl w:val="0"/>
        <w:numPr>
          <w:ilvl w:val="0"/>
          <w:numId w:val="8"/>
        </w:numPr>
        <w:tabs>
          <w:tab w:val="left" w:pos="851"/>
        </w:tabs>
        <w:spacing w:line="221" w:lineRule="exact"/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ПЗ (Пояснительная записка)</w:t>
      </w:r>
    </w:p>
    <w:p w:rsidR="005C1958" w:rsidRPr="00E96BCF" w:rsidRDefault="005C1958" w:rsidP="005C1958">
      <w:pPr>
        <w:widowControl w:val="0"/>
        <w:tabs>
          <w:tab w:val="left" w:pos="851"/>
        </w:tabs>
        <w:ind w:left="567" w:right="286" w:firstLine="0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2. ПЗУ (Схема планировочной организации земельного участка)</w:t>
      </w:r>
    </w:p>
    <w:p w:rsidR="005C1958" w:rsidRPr="00E96BCF" w:rsidRDefault="005C1958" w:rsidP="005C1958">
      <w:pPr>
        <w:widowControl w:val="0"/>
        <w:tabs>
          <w:tab w:val="left" w:pos="851"/>
        </w:tabs>
        <w:ind w:left="580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3. АР (Архитектурные решения) </w:t>
      </w:r>
    </w:p>
    <w:p w:rsidR="005C1958" w:rsidRPr="00E96BCF" w:rsidRDefault="005C1958" w:rsidP="005C1958">
      <w:pPr>
        <w:widowControl w:val="0"/>
        <w:tabs>
          <w:tab w:val="left" w:pos="85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4. </w:t>
      </w:r>
      <w:proofErr w:type="gramStart"/>
      <w:r w:rsidRPr="00E96BCF">
        <w:rPr>
          <w:rFonts w:eastAsia="Tahoma" w:cs="Times New Roman"/>
          <w:sz w:val="27"/>
          <w:szCs w:val="27"/>
          <w:lang w:eastAsia="ru-RU" w:bidi="ru-RU"/>
        </w:rPr>
        <w:t>КР</w:t>
      </w:r>
      <w:proofErr w:type="gramEnd"/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 (Конструктивные решения)</w:t>
      </w:r>
    </w:p>
    <w:p w:rsidR="005C1958" w:rsidRPr="00E96BCF" w:rsidRDefault="005C1958" w:rsidP="005C1958">
      <w:pPr>
        <w:widowControl w:val="0"/>
        <w:tabs>
          <w:tab w:val="left" w:pos="85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5. ИОС (Сведения об инженерном оборудовании)</w:t>
      </w:r>
    </w:p>
    <w:p w:rsidR="005C1958" w:rsidRPr="00E96BCF" w:rsidRDefault="005C1958" w:rsidP="005C1958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418"/>
          <w:tab w:val="left" w:pos="1560"/>
        </w:tabs>
        <w:spacing w:line="221" w:lineRule="exact"/>
        <w:ind w:left="1134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ИОС Система электроснабжения 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firstLine="0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5.2. ИОС Система водоснабжения 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firstLine="0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5.3. ИОС Система водоотведения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5.4. ИОС Отопление, вентиляция и кондиционирование воздуха, тепловые сети 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5.5. ИОС Сети связи  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5.6. ИОС Система газоснабжения</w:t>
      </w:r>
    </w:p>
    <w:p w:rsidR="005C1958" w:rsidRPr="00E96BCF" w:rsidRDefault="005C1958" w:rsidP="005C1958">
      <w:pPr>
        <w:widowControl w:val="0"/>
        <w:tabs>
          <w:tab w:val="left" w:pos="851"/>
          <w:tab w:val="left" w:pos="1134"/>
          <w:tab w:val="left" w:pos="1418"/>
          <w:tab w:val="left" w:pos="1560"/>
        </w:tabs>
        <w:ind w:left="1134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5.7. ИОС Технологические решения</w:t>
      </w:r>
    </w:p>
    <w:p w:rsidR="005C1958" w:rsidRPr="00E96BCF" w:rsidRDefault="005C1958" w:rsidP="005C1958">
      <w:pPr>
        <w:widowControl w:val="0"/>
        <w:tabs>
          <w:tab w:val="left" w:pos="85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6. </w:t>
      </w:r>
      <w:proofErr w:type="gramStart"/>
      <w:r w:rsidRPr="00E96BCF">
        <w:rPr>
          <w:rFonts w:eastAsia="Tahoma" w:cs="Times New Roman"/>
          <w:sz w:val="27"/>
          <w:szCs w:val="27"/>
          <w:lang w:eastAsia="ru-RU" w:bidi="ru-RU"/>
        </w:rPr>
        <w:t>ПОС</w:t>
      </w:r>
      <w:proofErr w:type="gramEnd"/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 (Проект организации строительства)</w:t>
      </w:r>
    </w:p>
    <w:p w:rsidR="005C1958" w:rsidRPr="00E96BCF" w:rsidRDefault="005C1958" w:rsidP="00F8035E">
      <w:pPr>
        <w:widowControl w:val="0"/>
        <w:tabs>
          <w:tab w:val="left" w:pos="851"/>
        </w:tabs>
        <w:ind w:left="580" w:right="286" w:hanging="13"/>
        <w:jc w:val="left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7. ПОД (Проект организации работ </w:t>
      </w:r>
      <w:r w:rsidRPr="00E96BCF">
        <w:rPr>
          <w:rFonts w:eastAsia="Courier New" w:cs="Times New Roman"/>
          <w:sz w:val="27"/>
          <w:szCs w:val="27"/>
          <w:lang w:eastAsia="ru-RU" w:bidi="ru-RU"/>
        </w:rPr>
        <w:t xml:space="preserve">по </w:t>
      </w: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сносу (демонтажу) объектов) </w:t>
      </w:r>
    </w:p>
    <w:p w:rsidR="005C1958" w:rsidRPr="00E96BCF" w:rsidRDefault="005C1958" w:rsidP="00F8035E">
      <w:pPr>
        <w:widowControl w:val="0"/>
        <w:tabs>
          <w:tab w:val="left" w:pos="85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8. ООС (Перечень мероприятий по охране окружающей среды)</w:t>
      </w:r>
    </w:p>
    <w:p w:rsidR="00F8035E" w:rsidRPr="00F8035E" w:rsidRDefault="005C1958" w:rsidP="00F8035E">
      <w:pPr>
        <w:widowControl w:val="0"/>
        <w:numPr>
          <w:ilvl w:val="0"/>
          <w:numId w:val="4"/>
        </w:numPr>
        <w:tabs>
          <w:tab w:val="left" w:pos="452"/>
          <w:tab w:val="left" w:pos="85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ПБ (Мероприятия по обеспечению пожарной безопасности)</w:t>
      </w:r>
    </w:p>
    <w:p w:rsidR="00F8035E" w:rsidRPr="00F8035E" w:rsidRDefault="005C1958" w:rsidP="00F8035E">
      <w:pPr>
        <w:widowControl w:val="0"/>
        <w:numPr>
          <w:ilvl w:val="0"/>
          <w:numId w:val="4"/>
        </w:numPr>
        <w:tabs>
          <w:tab w:val="left" w:pos="514"/>
          <w:tab w:val="left" w:pos="851"/>
          <w:tab w:val="left" w:pos="993"/>
          <w:tab w:val="left" w:pos="1701"/>
        </w:tabs>
        <w:ind w:left="580" w:right="286" w:hanging="13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ОДИ (Мероприятия по обеспечению доступа инвалидов)</w:t>
      </w:r>
    </w:p>
    <w:p w:rsidR="00F8035E" w:rsidRPr="00BB5384" w:rsidRDefault="00183397" w:rsidP="00183397">
      <w:pPr>
        <w:widowControl w:val="0"/>
        <w:tabs>
          <w:tab w:val="left" w:pos="610"/>
          <w:tab w:val="left" w:pos="851"/>
          <w:tab w:val="left" w:pos="1134"/>
          <w:tab w:val="left" w:pos="1560"/>
        </w:tabs>
        <w:ind w:left="567" w:right="286" w:firstLine="0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BB5384">
        <w:rPr>
          <w:rFonts w:eastAsia="Tahoma" w:cs="Times New Roman"/>
          <w:sz w:val="27"/>
          <w:szCs w:val="27"/>
          <w:lang w:eastAsia="ru-RU" w:bidi="ru-RU"/>
        </w:rPr>
        <w:t xml:space="preserve">10.1. </w:t>
      </w:r>
      <w:r w:rsidR="00F8035E" w:rsidRPr="00BB5384">
        <w:rPr>
          <w:rFonts w:eastAsia="Tahoma" w:cs="Times New Roman"/>
          <w:sz w:val="27"/>
          <w:szCs w:val="27"/>
          <w:lang w:eastAsia="ru-RU" w:bidi="ru-RU"/>
        </w:rPr>
        <w:t>ЭЭ (</w:t>
      </w:r>
      <w:proofErr w:type="spellStart"/>
      <w:r w:rsidR="00F8035E" w:rsidRPr="00BB5384">
        <w:rPr>
          <w:rFonts w:eastAsia="Tahoma" w:cs="Times New Roman"/>
          <w:sz w:val="27"/>
          <w:szCs w:val="27"/>
          <w:lang w:eastAsia="ru-RU" w:bidi="ru-RU"/>
        </w:rPr>
        <w:t>Энергоэффективность</w:t>
      </w:r>
      <w:proofErr w:type="spellEnd"/>
      <w:r w:rsidR="00F8035E" w:rsidRPr="00BB5384">
        <w:rPr>
          <w:rFonts w:eastAsia="Tahoma" w:cs="Times New Roman"/>
          <w:sz w:val="27"/>
          <w:szCs w:val="27"/>
          <w:lang w:eastAsia="ru-RU" w:bidi="ru-RU"/>
        </w:rPr>
        <w:t>)</w:t>
      </w:r>
      <w:r w:rsidR="005C1958" w:rsidRPr="00BB5384">
        <w:rPr>
          <w:rFonts w:eastAsia="Courier New" w:cs="Times New Roman"/>
          <w:sz w:val="27"/>
          <w:szCs w:val="27"/>
          <w:lang w:eastAsia="ru-RU" w:bidi="ru-RU"/>
        </w:rPr>
        <w:t xml:space="preserve"> </w:t>
      </w:r>
    </w:p>
    <w:p w:rsidR="005C1958" w:rsidRPr="00BB5384" w:rsidRDefault="00F8035E" w:rsidP="00F8035E">
      <w:pPr>
        <w:widowControl w:val="0"/>
        <w:tabs>
          <w:tab w:val="left" w:pos="610"/>
          <w:tab w:val="left" w:pos="709"/>
          <w:tab w:val="left" w:pos="851"/>
          <w:tab w:val="left" w:pos="1560"/>
        </w:tabs>
        <w:ind w:left="567" w:right="286" w:firstLine="0"/>
        <w:jc w:val="left"/>
        <w:rPr>
          <w:rFonts w:eastAsia="Courier New" w:cs="Times New Roman"/>
          <w:sz w:val="27"/>
          <w:szCs w:val="27"/>
          <w:lang w:eastAsia="ru-RU" w:bidi="ru-RU"/>
        </w:rPr>
      </w:pPr>
      <w:r w:rsidRPr="00BB5384">
        <w:rPr>
          <w:rFonts w:eastAsia="Courier New" w:cs="Times New Roman"/>
          <w:sz w:val="27"/>
          <w:szCs w:val="27"/>
          <w:lang w:eastAsia="ru-RU" w:bidi="ru-RU"/>
        </w:rPr>
        <w:t>11.</w:t>
      </w:r>
      <w:r w:rsidR="005C1958" w:rsidRPr="00BB5384">
        <w:rPr>
          <w:rFonts w:eastAsia="Courier New" w:cs="Times New Roman"/>
          <w:sz w:val="27"/>
          <w:szCs w:val="27"/>
          <w:lang w:eastAsia="ru-RU" w:bidi="ru-RU"/>
        </w:rPr>
        <w:t>СМ (Смета на строительство)</w:t>
      </w:r>
    </w:p>
    <w:p w:rsidR="005C1958" w:rsidRPr="00BB5384" w:rsidRDefault="005C1958" w:rsidP="00F8035E">
      <w:pPr>
        <w:widowControl w:val="0"/>
        <w:tabs>
          <w:tab w:val="left" w:pos="615"/>
          <w:tab w:val="left" w:pos="851"/>
          <w:tab w:val="left" w:pos="993"/>
          <w:tab w:val="left" w:pos="1134"/>
        </w:tabs>
        <w:ind w:left="580" w:right="286" w:firstLine="0"/>
        <w:rPr>
          <w:rFonts w:eastAsia="Courier New" w:cs="Times New Roman"/>
          <w:szCs w:val="28"/>
          <w:lang w:eastAsia="ru-RU" w:bidi="ru-RU"/>
        </w:rPr>
      </w:pPr>
      <w:r w:rsidRPr="00BB5384">
        <w:rPr>
          <w:rFonts w:eastAsia="Tahoma" w:cs="Times New Roman"/>
          <w:sz w:val="27"/>
          <w:szCs w:val="27"/>
          <w:lang w:eastAsia="ru-RU" w:bidi="ru-RU"/>
        </w:rPr>
        <w:t>12. ИД (Иная документация в случаях, предусмотренных федеральными законами)</w:t>
      </w:r>
    </w:p>
    <w:p w:rsidR="005C1958" w:rsidRPr="00E96BCF" w:rsidRDefault="005C1958" w:rsidP="005C1958">
      <w:pPr>
        <w:widowControl w:val="0"/>
        <w:ind w:firstLine="0"/>
        <w:jc w:val="left"/>
        <w:rPr>
          <w:rFonts w:eastAsia="Courier New" w:cs="Times New Roman"/>
          <w:szCs w:val="28"/>
          <w:lang w:eastAsia="ru-RU" w:bidi="ru-RU"/>
        </w:rPr>
        <w:sectPr w:rsidR="005C1958" w:rsidRPr="00E96BCF" w:rsidSect="00957FCD">
          <w:type w:val="continuous"/>
          <w:pgSz w:w="16840" w:h="11900" w:orient="landscape"/>
          <w:pgMar w:top="426" w:right="7909" w:bottom="426" w:left="423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lastRenderedPageBreak/>
        <w:t>Состав и содержание папки-каталога «Проектная документация» должны соответствовать составу разделов проектной документации, каждый раздел проектной документации должен содержаться в отдельной папке, названия папок должны соответствовать названиям разделов. Все подразделы Раздела 5 «Сведения об инженерном оборудовании, о сетях инженерно-технического обеспечения, перечень инженерно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softHyphen/>
        <w:t>-технических мероприятий, содержание технологических решений» оформляются в виде отдельных папок без объединения их в единую папку.</w:t>
      </w:r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Рекомендации по формированию папки, содержащей раздел (подраздел):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84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текстовые документы, текстовые приложения размещаются в одном документе; не допускается формирование документации по принципу «одна страница - один документ»;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84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 графической части каждый документ (чертеж, схема) размещается отдельным документом в соответствии с содержанием раздела или подраздела (при необходимости);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84"/>
        </w:tabs>
        <w:spacing w:after="300"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графические изображения должны соответствовать оригиналу, как по масштабу, так и по цветовому отображению.</w:t>
      </w:r>
    </w:p>
    <w:p w:rsidR="005C1958" w:rsidRPr="00E96BCF" w:rsidRDefault="005C1958" w:rsidP="00957FCD">
      <w:pPr>
        <w:keepNext/>
        <w:keepLines/>
        <w:widowControl w:val="0"/>
        <w:spacing w:line="312" w:lineRule="exact"/>
        <w:ind w:firstLine="580"/>
        <w:outlineLvl w:val="1"/>
        <w:rPr>
          <w:rFonts w:eastAsia="Times New Roman" w:cs="Times New Roman"/>
          <w:b/>
          <w:bCs/>
          <w:sz w:val="27"/>
          <w:szCs w:val="27"/>
          <w:lang w:eastAsia="ru-RU" w:bidi="ru-RU"/>
        </w:rPr>
      </w:pPr>
      <w:bookmarkStart w:id="4" w:name="bookmark4"/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t>Папка-каталог «Результаты инженерных изысканий»:</w:t>
      </w:r>
      <w:bookmarkEnd w:id="4"/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1134"/>
          <w:tab w:val="left" w:pos="1199"/>
        </w:tabs>
        <w:spacing w:line="312" w:lineRule="exact"/>
        <w:ind w:left="0" w:firstLine="580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ИТГИ [Отчет об инженерно-геодезических изысканиях]</w:t>
      </w:r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1134"/>
          <w:tab w:val="left" w:pos="1199"/>
        </w:tabs>
        <w:spacing w:line="312" w:lineRule="exact"/>
        <w:ind w:left="0"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ИГИ [Отчет об инженерно-геологических изысканиях]</w:t>
      </w:r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1134"/>
          <w:tab w:val="left" w:pos="1199"/>
        </w:tabs>
        <w:spacing w:line="312" w:lineRule="exact"/>
        <w:ind w:left="0"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ИГТИ [Отчет об инженерно-геотехнических изысканиях]</w:t>
      </w:r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1134"/>
          <w:tab w:val="left" w:pos="1199"/>
        </w:tabs>
        <w:spacing w:line="312" w:lineRule="exact"/>
        <w:ind w:left="0" w:firstLine="580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ИГМИ [Отчет об инженерно-гидрометеорологическим изысканиях]</w:t>
      </w:r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1134"/>
        </w:tabs>
        <w:spacing w:line="312" w:lineRule="exact"/>
        <w:ind w:left="0"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ИЭИ [Отчет об инженерно-экологических изысканиях]</w:t>
      </w:r>
    </w:p>
    <w:p w:rsidR="005C1958" w:rsidRPr="00E96BCF" w:rsidRDefault="005C1958" w:rsidP="00957FCD">
      <w:pPr>
        <w:widowControl w:val="0"/>
        <w:tabs>
          <w:tab w:val="left" w:pos="1134"/>
          <w:tab w:val="left" w:pos="1199"/>
        </w:tabs>
        <w:ind w:firstLine="580"/>
        <w:rPr>
          <w:rFonts w:eastAsia="Courier New" w:cs="Times New Roman"/>
          <w:sz w:val="27"/>
          <w:szCs w:val="27"/>
          <w:lang w:eastAsia="ru-RU" w:bidi="ru-RU"/>
        </w:rPr>
      </w:pPr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Состав и содержание папки-каталога «Результаты инженерных изысканий» должны соответствовать видам работ по инженерным изысканиям, каждый вид работ по инженерным изысканиям должен содержаться в отдельной папке (каталоге), названия папок должны соответствовать видам работ по инженерным изысканиям.</w:t>
      </w:r>
    </w:p>
    <w:p w:rsidR="005C1958" w:rsidRPr="00E96BCF" w:rsidRDefault="005C1958" w:rsidP="00F8035E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Виды работ по инженерным изысканиям долж</w:t>
      </w:r>
      <w:r w:rsidR="00F8035E">
        <w:rPr>
          <w:rFonts w:eastAsia="Times New Roman" w:cs="Times New Roman"/>
          <w:sz w:val="27"/>
          <w:szCs w:val="27"/>
          <w:lang w:eastAsia="ru-RU" w:bidi="ru-RU"/>
        </w:rPr>
        <w:t xml:space="preserve">ны соответствовать требованиям: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ст.47 Градостроительного кодекса Российской Федерации, СП 47.13330.2012 «Инженерные изыскания для строительства. Основные положения», «Перечня видов работ...», утвержденного приказом </w:t>
      </w:r>
      <w:proofErr w:type="spellStart"/>
      <w:r w:rsidRPr="00E96BCF">
        <w:rPr>
          <w:rFonts w:eastAsia="Times New Roman" w:cs="Times New Roman"/>
          <w:sz w:val="27"/>
          <w:szCs w:val="27"/>
          <w:lang w:eastAsia="ru-RU" w:bidi="ru-RU"/>
        </w:rPr>
        <w:t>Минрегиона</w:t>
      </w:r>
      <w:proofErr w:type="spellEnd"/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 России от 30.12.2009 № 624.</w:t>
      </w:r>
    </w:p>
    <w:p w:rsidR="005C1958" w:rsidRPr="00E96BCF" w:rsidRDefault="005C1958" w:rsidP="00957FCD">
      <w:pPr>
        <w:widowControl w:val="0"/>
        <w:tabs>
          <w:tab w:val="left" w:pos="2693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Каждый вид работ по инженерным изысканиям содержится в отдельной папке. Названия папок соответствуют видам работ по инженерным изысканиям. Рекомендуемые обозначения папок: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ab/>
        <w:t>инженерно-геодезические (ИТГИ), инженерно-геологические (ИГИ), инженерно-геотехнические (ИГТИ), инженерно-гидрометеорологические (ИГМИ), инженерно-экологические (ИЭИ) изыскания.</w:t>
      </w:r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Каждая папка инженерных изысканий содержит документы (папки, файлы): текстовый отчет, текстовые приложения, графические приложения.</w:t>
      </w:r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Рекомендации по формированию папки, содержащей результаты каждого вида изысканий: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825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текстовые документы, текстовые приложения размещаются в одном документе;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2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не допускается формирование документации по принципу «одна страница - один документ»;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2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в графической части каждый документ (чертеж, схема) размещается отдельным документом в соответствии с содержанием раздела или подраздела (при необходимости);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7"/>
        </w:tabs>
        <w:spacing w:after="306"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lastRenderedPageBreak/>
        <w:t>графические изображения должны соответствовать оригиналу, как по масштабу, так и по цветовому отображению.</w:t>
      </w:r>
    </w:p>
    <w:p w:rsidR="005C1958" w:rsidRPr="00E96BCF" w:rsidRDefault="005C1958" w:rsidP="00957FCD">
      <w:pPr>
        <w:keepNext/>
        <w:keepLines/>
        <w:widowControl w:val="0"/>
        <w:spacing w:line="266" w:lineRule="exact"/>
        <w:ind w:firstLine="580"/>
        <w:outlineLvl w:val="1"/>
        <w:rPr>
          <w:rFonts w:eastAsia="Times New Roman" w:cs="Times New Roman"/>
          <w:b/>
          <w:bCs/>
          <w:sz w:val="27"/>
          <w:szCs w:val="27"/>
          <w:lang w:eastAsia="ru-RU" w:bidi="ru-RU"/>
        </w:rPr>
      </w:pPr>
      <w:bookmarkStart w:id="5" w:name="bookmark5"/>
      <w:r w:rsidRPr="00E96BCF">
        <w:rPr>
          <w:rFonts w:eastAsia="Times New Roman" w:cs="Times New Roman"/>
          <w:b/>
          <w:bCs/>
          <w:sz w:val="27"/>
          <w:szCs w:val="27"/>
          <w:lang w:eastAsia="ru-RU" w:bidi="ru-RU"/>
        </w:rPr>
        <w:t>Папка-каталог «Исходно-разрешительная документация»:</w:t>
      </w:r>
      <w:bookmarkEnd w:id="5"/>
    </w:p>
    <w:p w:rsidR="005C1958" w:rsidRPr="00E96BCF" w:rsidRDefault="005C1958" w:rsidP="00957FCD">
      <w:pPr>
        <w:widowControl w:val="0"/>
        <w:numPr>
          <w:ilvl w:val="0"/>
          <w:numId w:val="7"/>
        </w:numPr>
        <w:tabs>
          <w:tab w:val="left" w:pos="851"/>
          <w:tab w:val="left" w:pos="1193"/>
        </w:tabs>
        <w:spacing w:line="293" w:lineRule="exact"/>
        <w:ind w:firstLine="580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Заявление о проведении негосударственной экспертизы</w:t>
      </w:r>
    </w:p>
    <w:p w:rsidR="005C1958" w:rsidRPr="00E96BCF" w:rsidRDefault="005C1958" w:rsidP="00957FCD">
      <w:pPr>
        <w:widowControl w:val="0"/>
        <w:numPr>
          <w:ilvl w:val="0"/>
          <w:numId w:val="7"/>
        </w:numPr>
        <w:tabs>
          <w:tab w:val="left" w:pos="851"/>
          <w:tab w:val="left" w:pos="1193"/>
        </w:tabs>
        <w:spacing w:line="293" w:lineRule="exact"/>
        <w:ind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Задание на проектирование</w:t>
      </w:r>
    </w:p>
    <w:p w:rsidR="005C1958" w:rsidRPr="00E96BCF" w:rsidRDefault="005C1958" w:rsidP="00957FCD">
      <w:pPr>
        <w:widowControl w:val="0"/>
        <w:numPr>
          <w:ilvl w:val="0"/>
          <w:numId w:val="7"/>
        </w:numPr>
        <w:tabs>
          <w:tab w:val="left" w:pos="851"/>
          <w:tab w:val="left" w:pos="1193"/>
        </w:tabs>
        <w:spacing w:line="293" w:lineRule="exact"/>
        <w:ind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Задание, программа на выполнение инженерных изысканий</w:t>
      </w:r>
    </w:p>
    <w:p w:rsidR="005C1958" w:rsidRPr="00E96BCF" w:rsidRDefault="005C1958" w:rsidP="00957FCD">
      <w:pPr>
        <w:widowControl w:val="0"/>
        <w:tabs>
          <w:tab w:val="left" w:pos="851"/>
        </w:tabs>
        <w:spacing w:line="293" w:lineRule="exact"/>
        <w:ind w:firstLine="580"/>
        <w:rPr>
          <w:rFonts w:eastAsia="Tahoma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4. Документы, подтверждающие полномочия Заявителя действовать от имени Застройщика, Технического заказчика. </w:t>
      </w:r>
    </w:p>
    <w:p w:rsidR="005C1958" w:rsidRPr="00E96BCF" w:rsidRDefault="005C1958" w:rsidP="00957FCD">
      <w:pPr>
        <w:widowControl w:val="0"/>
        <w:tabs>
          <w:tab w:val="left" w:pos="851"/>
        </w:tabs>
        <w:spacing w:line="293" w:lineRule="exact"/>
        <w:ind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 xml:space="preserve">5. </w:t>
      </w:r>
      <w:r w:rsidRPr="00E96BCF">
        <w:rPr>
          <w:rFonts w:eastAsia="Courier New" w:cs="Times New Roman"/>
          <w:sz w:val="27"/>
          <w:szCs w:val="27"/>
          <w:lang w:eastAsia="ru-RU" w:bidi="ru-RU"/>
        </w:rPr>
        <w:t>Выписка из реестра членов саморегулируемой организации в области архитектурно-строительного проектирования и (или) инженерных изысканий, членом которой является исполнитель работ по подготовке проектной документации и (или) выполнению инженерных изысканий, действительная на дату передачи проектной документации и (или) результатов инженерных изысканий застройщику (техническому заказчику).</w:t>
      </w:r>
    </w:p>
    <w:p w:rsidR="005C1958" w:rsidRPr="00E96BCF" w:rsidRDefault="005C1958" w:rsidP="00957FCD">
      <w:pPr>
        <w:widowControl w:val="0"/>
        <w:numPr>
          <w:ilvl w:val="0"/>
          <w:numId w:val="6"/>
        </w:numPr>
        <w:tabs>
          <w:tab w:val="left" w:pos="851"/>
          <w:tab w:val="left" w:pos="993"/>
          <w:tab w:val="left" w:pos="1560"/>
        </w:tabs>
        <w:spacing w:line="293" w:lineRule="exact"/>
        <w:ind w:left="0"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Courier New" w:cs="Times New Roman"/>
          <w:sz w:val="27"/>
          <w:szCs w:val="27"/>
          <w:lang w:eastAsia="ru-RU" w:bidi="ru-RU"/>
        </w:rPr>
        <w:t>Документ, подтверждающий передачу проектной документации и (или) результатов инженерных изысканий застройщику (техническому заказчику)</w:t>
      </w:r>
    </w:p>
    <w:p w:rsidR="005C1958" w:rsidRPr="00E96BCF" w:rsidRDefault="005C1958" w:rsidP="00957FCD">
      <w:pPr>
        <w:widowControl w:val="0"/>
        <w:tabs>
          <w:tab w:val="left" w:pos="851"/>
        </w:tabs>
        <w:spacing w:line="293" w:lineRule="exact"/>
        <w:ind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7. Справка и реестр (для повторной экспертизы)</w:t>
      </w:r>
    </w:p>
    <w:p w:rsidR="005C1958" w:rsidRPr="00E96BCF" w:rsidRDefault="005C1958" w:rsidP="00957FCD">
      <w:pPr>
        <w:widowControl w:val="0"/>
        <w:tabs>
          <w:tab w:val="left" w:pos="851"/>
        </w:tabs>
        <w:spacing w:line="293" w:lineRule="exact"/>
        <w:ind w:firstLine="580"/>
        <w:rPr>
          <w:rFonts w:eastAsia="Courier New" w:cs="Times New Roman"/>
          <w:sz w:val="27"/>
          <w:szCs w:val="27"/>
          <w:lang w:eastAsia="ru-RU" w:bidi="ru-RU"/>
        </w:rPr>
      </w:pPr>
      <w:r w:rsidRPr="00E96BCF">
        <w:rPr>
          <w:rFonts w:eastAsia="Tahoma" w:cs="Times New Roman"/>
          <w:sz w:val="27"/>
          <w:szCs w:val="27"/>
          <w:lang w:eastAsia="ru-RU" w:bidi="ru-RU"/>
        </w:rPr>
        <w:t>8</w:t>
      </w:r>
      <w:r w:rsidRPr="00E96BCF">
        <w:rPr>
          <w:rFonts w:eastAsia="Courier New" w:cs="Times New Roman"/>
          <w:sz w:val="27"/>
          <w:szCs w:val="27"/>
          <w:lang w:eastAsia="ru-RU" w:bidi="ru-RU"/>
        </w:rPr>
        <w:t>. Сведения об источниках финансирования объекта капитального строительства.</w:t>
      </w:r>
    </w:p>
    <w:p w:rsidR="005C1958" w:rsidRPr="00E96BCF" w:rsidRDefault="005C1958" w:rsidP="00957FCD">
      <w:pPr>
        <w:widowControl w:val="0"/>
        <w:spacing w:after="280"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Все документы должны быть представлены в формате 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pdf</w:t>
      </w:r>
      <w:r w:rsidRPr="00E96BCF">
        <w:rPr>
          <w:rFonts w:eastAsia="Times New Roman" w:cs="Times New Roman"/>
          <w:sz w:val="27"/>
          <w:szCs w:val="27"/>
          <w:lang w:bidi="en-US"/>
        </w:rPr>
        <w:t xml:space="preserve">,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иметь подписи и печати, где это необходимо, и полностью соответствовать оригиналам, а также в установленном порядке подписаны усиленной квалифицированной электронной подписью заявителя.</w:t>
      </w:r>
    </w:p>
    <w:p w:rsidR="005C1958" w:rsidRPr="00E96BCF" w:rsidRDefault="005C1958" w:rsidP="00957FCD">
      <w:pPr>
        <w:widowControl w:val="0"/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eastAsia="ru-RU" w:bidi="ru-RU"/>
        </w:rPr>
        <w:t xml:space="preserve">Папка-каталог «Сметная документация»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>должна состоять из отдельных папок с соответствующим названием: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3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«Пояснительная записка»;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3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«Сводка затрат. Сводный сметный расчет стоимости строительства»;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65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proofErr w:type="gramStart"/>
      <w:r w:rsidRPr="00E96BCF">
        <w:rPr>
          <w:rFonts w:eastAsia="Times New Roman" w:cs="Times New Roman"/>
          <w:sz w:val="27"/>
          <w:szCs w:val="27"/>
          <w:lang w:eastAsia="ru-RU" w:bidi="ru-RU"/>
        </w:rPr>
        <w:t>«Объектные сметы», «Локальные сметы», «Сметные расчеты на отдельные виды затрат»);</w:t>
      </w:r>
      <w:proofErr w:type="gramEnd"/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55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«Ведомости объемов работ и спецификации» (отдельно по каждому разделу проектной документации);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55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«Документы, обосновывающие стоимость оборудования, материалов, изделий и конструкций, отсутствующих в сборниках, включенных в федеральный реестр сметных нормативов, а так же документы, подтверждающие правомерность использования импортных материалов и оборудования» (прайс-листы, спецификации на монтируемое и </w:t>
      </w:r>
      <w:proofErr w:type="spellStart"/>
      <w:r w:rsidRPr="00E96BCF">
        <w:rPr>
          <w:rFonts w:eastAsia="Times New Roman" w:cs="Times New Roman"/>
          <w:sz w:val="27"/>
          <w:szCs w:val="27"/>
          <w:lang w:eastAsia="ru-RU" w:bidi="ru-RU"/>
        </w:rPr>
        <w:t>немонтирумое</w:t>
      </w:r>
      <w:proofErr w:type="spellEnd"/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 оборудование);</w:t>
      </w:r>
    </w:p>
    <w:p w:rsidR="005C1958" w:rsidRPr="00E96BCF" w:rsidRDefault="005C1958" w:rsidP="00957FCD">
      <w:pPr>
        <w:widowControl w:val="0"/>
        <w:numPr>
          <w:ilvl w:val="0"/>
          <w:numId w:val="1"/>
        </w:numPr>
        <w:tabs>
          <w:tab w:val="left" w:pos="793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sz w:val="27"/>
          <w:szCs w:val="27"/>
          <w:lang w:eastAsia="ru-RU" w:bidi="ru-RU"/>
        </w:rPr>
        <w:t>«Иные документы, подтверждающие включение затрат в ССР».</w:t>
      </w:r>
    </w:p>
    <w:p w:rsidR="005C1958" w:rsidRPr="00E96BCF" w:rsidRDefault="005C1958" w:rsidP="00957FCD">
      <w:pPr>
        <w:widowControl w:val="0"/>
        <w:tabs>
          <w:tab w:val="left" w:pos="793"/>
        </w:tabs>
        <w:spacing w:line="274" w:lineRule="exact"/>
        <w:ind w:firstLine="580"/>
        <w:rPr>
          <w:rFonts w:eastAsia="Times New Roman" w:cs="Times New Roman"/>
          <w:sz w:val="27"/>
          <w:szCs w:val="27"/>
          <w:lang w:eastAsia="ru-RU" w:bidi="ru-RU"/>
        </w:rPr>
      </w:pPr>
      <w:r w:rsidRPr="00E96BCF">
        <w:rPr>
          <w:rFonts w:eastAsia="Times New Roman" w:cs="Times New Roman"/>
          <w:b/>
          <w:sz w:val="27"/>
          <w:szCs w:val="27"/>
          <w:lang w:eastAsia="ru-RU" w:bidi="ru-RU"/>
        </w:rPr>
        <w:t>После устранения всех несоответствий, выявленных экспертизой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eastAsia="ru-RU" w:bidi="ru-RU"/>
        </w:rPr>
        <w:t>, необходимо предоставить исходно-разрешительную, проектную документацию и результаты инженерных изысканий в полном объеме с внесенными изменениями.</w:t>
      </w:r>
    </w:p>
    <w:p w:rsidR="00A50668" w:rsidRPr="00E96BCF" w:rsidRDefault="005C1958" w:rsidP="00957FCD">
      <w:pPr>
        <w:widowControl w:val="0"/>
        <w:spacing w:after="280" w:line="274" w:lineRule="exact"/>
        <w:ind w:firstLine="580"/>
        <w:rPr>
          <w:rFonts w:cs="Times New Roman"/>
          <w:szCs w:val="28"/>
        </w:rPr>
      </w:pP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eastAsia="ru-RU" w:bidi="ru-RU"/>
        </w:rPr>
        <w:t xml:space="preserve">При направлении проектной документации и результатов инженерных изысканий на повторную экспертизу </w:t>
      </w:r>
      <w:r w:rsidRPr="00E96BCF">
        <w:rPr>
          <w:rFonts w:eastAsia="Times New Roman" w:cs="Times New Roman"/>
          <w:sz w:val="27"/>
          <w:szCs w:val="27"/>
          <w:lang w:eastAsia="ru-RU" w:bidi="ru-RU"/>
        </w:rPr>
        <w:t xml:space="preserve">после получения отрицательного заключения дополнительно формируются файлы «Реестр изменений, внесенных в проектную документацию» и «Справка об изменениях», данные документы подгружаются в папку-каталог «Исходно-разрешительная документация» в формате 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val="en-US" w:bidi="en-US"/>
        </w:rPr>
        <w:t>pdf</w:t>
      </w:r>
      <w:r w:rsidRPr="00E96BCF">
        <w:rPr>
          <w:rFonts w:eastAsia="Times New Roman" w:cs="Times New Roman"/>
          <w:b/>
          <w:bCs/>
          <w:sz w:val="27"/>
          <w:szCs w:val="27"/>
          <w:shd w:val="clear" w:color="auto" w:fill="FFFFFF"/>
          <w:lang w:bidi="en-US"/>
        </w:rPr>
        <w:t>.</w:t>
      </w:r>
    </w:p>
    <w:sectPr w:rsidR="00A50668" w:rsidRPr="00E9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4B" w:rsidRDefault="007A444B" w:rsidP="005C1958">
      <w:r>
        <w:separator/>
      </w:r>
    </w:p>
  </w:endnote>
  <w:endnote w:type="continuationSeparator" w:id="0">
    <w:p w:rsidR="007A444B" w:rsidRDefault="007A444B" w:rsidP="005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4B" w:rsidRDefault="007A444B" w:rsidP="005C1958">
      <w:r>
        <w:separator/>
      </w:r>
    </w:p>
  </w:footnote>
  <w:footnote w:type="continuationSeparator" w:id="0">
    <w:p w:rsidR="007A444B" w:rsidRDefault="007A444B" w:rsidP="005C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97" w:rsidRDefault="001833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9AA70BA" wp14:editId="2AB363F1">
              <wp:simplePos x="0" y="0"/>
              <wp:positionH relativeFrom="page">
                <wp:posOffset>3718560</wp:posOffset>
              </wp:positionH>
              <wp:positionV relativeFrom="page">
                <wp:posOffset>488315</wp:posOffset>
              </wp:positionV>
              <wp:extent cx="70485" cy="160655"/>
              <wp:effectExtent l="3810" t="254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97" w:rsidRDefault="0018339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4F7D">
                            <w:rPr>
                              <w:rStyle w:val="a3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92.8pt;margin-top:38.4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3KqA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" filled="f" stroked="f">
              <v:textbox style="mso-fit-shape-to-text:t" inset="0,0,0,0">
                <w:txbxContent>
                  <w:p w:rsidR="00183397" w:rsidRDefault="0018339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4F7D">
                      <w:rPr>
                        <w:rStyle w:val="a3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3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322"/>
    <w:multiLevelType w:val="multilevel"/>
    <w:tmpl w:val="036CBDF0"/>
    <w:lvl w:ilvl="0">
      <w:start w:val="1"/>
      <w:numFmt w:val="decimal"/>
      <w:lvlText w:val="5.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401834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F645E"/>
    <w:multiLevelType w:val="multilevel"/>
    <w:tmpl w:val="7FE294B2"/>
    <w:lvl w:ilvl="0">
      <w:start w:val="10"/>
      <w:numFmt w:val="decimal"/>
      <w:lvlText w:val="%1"/>
      <w:lvlJc w:val="left"/>
      <w:pPr>
        <w:ind w:left="480" w:hanging="480"/>
      </w:pPr>
      <w:rPr>
        <w:rFonts w:eastAsia="Tahoma"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eastAsia="Tahom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ahoma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ahom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ahoma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ahom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ahoma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ahoma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ahoma" w:hint="default"/>
      </w:rPr>
    </w:lvl>
  </w:abstractNum>
  <w:abstractNum w:abstractNumId="2">
    <w:nsid w:val="3E8651A6"/>
    <w:multiLevelType w:val="hybridMultilevel"/>
    <w:tmpl w:val="FCA27E02"/>
    <w:lvl w:ilvl="0" w:tplc="CA524BBC">
      <w:numFmt w:val="decimal"/>
      <w:lvlText w:val="%1."/>
      <w:lvlJc w:val="left"/>
      <w:pPr>
        <w:ind w:left="786" w:hanging="360"/>
      </w:pPr>
      <w:rPr>
        <w:rFonts w:hint="default"/>
        <w:color w:val="41325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1C0E4E"/>
    <w:multiLevelType w:val="multilevel"/>
    <w:tmpl w:val="C792B24E"/>
    <w:lvl w:ilvl="0">
      <w:start w:val="9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401834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413252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E1275"/>
    <w:multiLevelType w:val="multilevel"/>
    <w:tmpl w:val="AEBA8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330836"/>
    <w:multiLevelType w:val="multilevel"/>
    <w:tmpl w:val="A34ABB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40183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484D7351"/>
    <w:multiLevelType w:val="multilevel"/>
    <w:tmpl w:val="ACBE8954"/>
    <w:lvl w:ilvl="0">
      <w:start w:val="2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41325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413252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823EA5"/>
    <w:multiLevelType w:val="hybridMultilevel"/>
    <w:tmpl w:val="28CEAD44"/>
    <w:lvl w:ilvl="0" w:tplc="6A3CDEBA">
      <w:numFmt w:val="decimal"/>
      <w:lvlText w:val="%1."/>
      <w:lvlJc w:val="left"/>
      <w:pPr>
        <w:ind w:left="360" w:hanging="360"/>
      </w:pPr>
      <w:rPr>
        <w:rFonts w:hint="default"/>
        <w:color w:val="41325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B6087B"/>
    <w:multiLevelType w:val="multilevel"/>
    <w:tmpl w:val="F6722D1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401834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9">
    <w:nsid w:val="7D97522D"/>
    <w:multiLevelType w:val="multilevel"/>
    <w:tmpl w:val="32C62AC2"/>
    <w:lvl w:ilvl="0">
      <w:start w:val="2"/>
      <w:numFmt w:val="decimal"/>
      <w:lvlText w:val="1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401834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D5"/>
    <w:rsid w:val="00183397"/>
    <w:rsid w:val="00275188"/>
    <w:rsid w:val="00561B21"/>
    <w:rsid w:val="005C1958"/>
    <w:rsid w:val="007040BA"/>
    <w:rsid w:val="007A444B"/>
    <w:rsid w:val="00957FCD"/>
    <w:rsid w:val="00A042E7"/>
    <w:rsid w:val="00A50668"/>
    <w:rsid w:val="00BB5384"/>
    <w:rsid w:val="00CE0BD5"/>
    <w:rsid w:val="00D8118E"/>
    <w:rsid w:val="00E74794"/>
    <w:rsid w:val="00E96BCF"/>
    <w:rsid w:val="00F8035E"/>
    <w:rsid w:val="00F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5C1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5C19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5C195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a4">
    <w:name w:val="header"/>
    <w:basedOn w:val="a"/>
    <w:link w:val="a5"/>
    <w:uiPriority w:val="99"/>
    <w:unhideWhenUsed/>
    <w:rsid w:val="005C19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195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19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958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F80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6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5C1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5C19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5C195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a4">
    <w:name w:val="header"/>
    <w:basedOn w:val="a"/>
    <w:link w:val="a5"/>
    <w:uiPriority w:val="99"/>
    <w:unhideWhenUsed/>
    <w:rsid w:val="005C19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195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19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958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F8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В. Татьяна</dc:creator>
  <cp:lastModifiedBy>Манахова Ю. Татьяна</cp:lastModifiedBy>
  <cp:revision>4</cp:revision>
  <dcterms:created xsi:type="dcterms:W3CDTF">2018-09-24T06:55:00Z</dcterms:created>
  <dcterms:modified xsi:type="dcterms:W3CDTF">2018-09-27T05:25:00Z</dcterms:modified>
</cp:coreProperties>
</file>